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223FCB" w:rsidRPr="00ED67AD" w:rsidTr="001D6EAE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23FCB" w:rsidRPr="00ED67AD" w:rsidRDefault="00DE06D2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10160" b="127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223FCB" w:rsidRPr="00ED67AD">
              <w:t xml:space="preserve"> </w:t>
            </w:r>
          </w:p>
          <w:p w:rsidR="00223FCB" w:rsidRPr="00ED67AD" w:rsidRDefault="00223FCB">
            <w:pPr>
              <w:pStyle w:val="CVNormal"/>
            </w:pPr>
          </w:p>
        </w:tc>
        <w:tc>
          <w:tcPr>
            <w:tcW w:w="283" w:type="dxa"/>
          </w:tcPr>
          <w:p w:rsidR="00223FCB" w:rsidRPr="00ED67AD" w:rsidRDefault="00223FCB">
            <w:pPr>
              <w:pStyle w:val="CVNormal"/>
            </w:pPr>
          </w:p>
        </w:tc>
        <w:tc>
          <w:tcPr>
            <w:tcW w:w="7655" w:type="dxa"/>
            <w:gridSpan w:val="11"/>
            <w:vMerge w:val="restart"/>
          </w:tcPr>
          <w:p w:rsidR="00223FCB" w:rsidRPr="00ED67AD" w:rsidRDefault="00223FCB">
            <w:pPr>
              <w:pStyle w:val="CVNormal"/>
            </w:pPr>
          </w:p>
        </w:tc>
      </w:tr>
      <w:tr w:rsidR="00223FCB" w:rsidRPr="00ED67AD" w:rsidTr="001D6EAE">
        <w:trPr>
          <w:cantSplit/>
          <w:trHeight w:hRule="exact" w:val="425"/>
        </w:trPr>
        <w:tc>
          <w:tcPr>
            <w:tcW w:w="2834" w:type="dxa"/>
            <w:vMerge/>
          </w:tcPr>
          <w:p w:rsidR="00223FCB" w:rsidRPr="00ED67AD" w:rsidRDefault="00223FC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223FCB" w:rsidRPr="00ED67AD" w:rsidRDefault="00223FCB">
            <w:pPr>
              <w:pStyle w:val="CVNormal"/>
            </w:pPr>
          </w:p>
        </w:tc>
        <w:tc>
          <w:tcPr>
            <w:tcW w:w="7655" w:type="dxa"/>
            <w:gridSpan w:val="11"/>
            <w:vMerge/>
          </w:tcPr>
          <w:p w:rsidR="00223FCB" w:rsidRPr="00ED67AD" w:rsidRDefault="00223FCB"/>
        </w:tc>
      </w:tr>
      <w:tr w:rsidR="00223FCB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23FCB" w:rsidRPr="00ED67AD" w:rsidRDefault="00223FCB">
            <w:pPr>
              <w:pStyle w:val="CVTitle"/>
            </w:pPr>
            <w:r w:rsidRPr="00ED67AD">
              <w:t>Europass</w:t>
            </w:r>
          </w:p>
          <w:p w:rsidR="00223FCB" w:rsidRPr="00ED67AD" w:rsidRDefault="00223FCB">
            <w:pPr>
              <w:pStyle w:val="CVTitle"/>
            </w:pPr>
            <w:r w:rsidRPr="00ED67AD">
              <w:t>Curriculum Vitae</w:t>
            </w:r>
          </w:p>
        </w:tc>
        <w:tc>
          <w:tcPr>
            <w:tcW w:w="7655" w:type="dxa"/>
            <w:gridSpan w:val="11"/>
          </w:tcPr>
          <w:p w:rsidR="00223FCB" w:rsidRPr="00ED67AD" w:rsidRDefault="00FD740C" w:rsidP="00973E06">
            <w:pPr>
              <w:pStyle w:val="CVNormal"/>
            </w:pPr>
            <w:r w:rsidRPr="002E76F6">
              <w:rPr>
                <w:rFonts w:cstheme="minorHAnsi"/>
                <w:b/>
                <w:bCs/>
                <w:noProof/>
                <w:lang w:val="it-IT" w:eastAsia="it-IT"/>
              </w:rPr>
              <w:drawing>
                <wp:inline distT="0" distB="0" distL="0" distR="0" wp14:anchorId="6CA0D515" wp14:editId="711B76CB">
                  <wp:extent cx="1460428" cy="969119"/>
                  <wp:effectExtent l="0" t="0" r="6985" b="254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Marcucc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04" cy="99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FCB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23FCB" w:rsidRPr="00ED67AD" w:rsidRDefault="00223FC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223FCB" w:rsidRPr="00ED67AD" w:rsidRDefault="00223FCB">
            <w:pPr>
              <w:pStyle w:val="CVSpacer"/>
            </w:pPr>
          </w:p>
        </w:tc>
      </w:tr>
      <w:tr w:rsidR="00223FCB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23FCB" w:rsidRPr="00ED67AD" w:rsidRDefault="00223FCB">
            <w:pPr>
              <w:pStyle w:val="CVHeading1"/>
            </w:pPr>
            <w:r w:rsidRPr="00ED67AD">
              <w:t>Personal information</w:t>
            </w:r>
          </w:p>
        </w:tc>
        <w:tc>
          <w:tcPr>
            <w:tcW w:w="7655" w:type="dxa"/>
            <w:gridSpan w:val="11"/>
          </w:tcPr>
          <w:p w:rsidR="00223FCB" w:rsidRPr="00ED67AD" w:rsidRDefault="00223FCB">
            <w:pPr>
              <w:pStyle w:val="CVNormal"/>
            </w:pPr>
          </w:p>
        </w:tc>
      </w:tr>
      <w:tr w:rsidR="001D6EAE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6EAE" w:rsidRPr="00ED67AD" w:rsidRDefault="001D6EAE">
            <w:pPr>
              <w:pStyle w:val="CVHeading2-FirstLine"/>
            </w:pPr>
            <w:r w:rsidRPr="00ED67AD">
              <w:t xml:space="preserve">First name(s) / Surname(s) </w:t>
            </w:r>
          </w:p>
        </w:tc>
        <w:tc>
          <w:tcPr>
            <w:tcW w:w="7655" w:type="dxa"/>
            <w:gridSpan w:val="11"/>
          </w:tcPr>
          <w:p w:rsidR="001D6EAE" w:rsidRPr="00ED67AD" w:rsidRDefault="003B476E" w:rsidP="003B476E">
            <w:pPr>
              <w:pStyle w:val="CVMajor-FirstLine"/>
            </w:pPr>
            <w:r w:rsidRPr="00ED67AD">
              <w:t>Marcucci</w:t>
            </w:r>
            <w:r w:rsidR="0018149B" w:rsidRPr="00ED67AD">
              <w:t>, Edoardo</w:t>
            </w:r>
            <w:r w:rsidR="001D6EAE" w:rsidRPr="00ED67AD">
              <w:t xml:space="preserve"> </w:t>
            </w:r>
          </w:p>
        </w:tc>
      </w:tr>
      <w:tr w:rsidR="001D6EAE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6EAE" w:rsidRPr="00ED67AD" w:rsidRDefault="001D6EAE">
            <w:pPr>
              <w:pStyle w:val="CVHeading3"/>
            </w:pPr>
            <w:r w:rsidRPr="00ED67AD">
              <w:t>Telephone(s)</w:t>
            </w:r>
          </w:p>
        </w:tc>
        <w:tc>
          <w:tcPr>
            <w:tcW w:w="3145" w:type="dxa"/>
            <w:gridSpan w:val="5"/>
          </w:tcPr>
          <w:p w:rsidR="001D6EAE" w:rsidRDefault="00C6329C" w:rsidP="003B476E">
            <w:pPr>
              <w:pStyle w:val="CVNormal"/>
            </w:pPr>
            <w:r>
              <w:t>+39 33</w:t>
            </w:r>
            <w:r w:rsidR="003B476E" w:rsidRPr="00ED67AD">
              <w:t>1</w:t>
            </w:r>
            <w:r>
              <w:t xml:space="preserve"> </w:t>
            </w:r>
            <w:r w:rsidR="003B476E" w:rsidRPr="00ED67AD">
              <w:t>687 6905</w:t>
            </w:r>
            <w:r>
              <w:t xml:space="preserve"> (mobile)</w:t>
            </w:r>
          </w:p>
          <w:p w:rsidR="00C6329C" w:rsidRPr="00ED67AD" w:rsidRDefault="00C6329C" w:rsidP="003B476E">
            <w:pPr>
              <w:pStyle w:val="CVNormal"/>
            </w:pPr>
            <w:r>
              <w:t>+39 06 5733 5289 (office)</w:t>
            </w:r>
          </w:p>
        </w:tc>
        <w:tc>
          <w:tcPr>
            <w:tcW w:w="4510" w:type="dxa"/>
            <w:gridSpan w:val="6"/>
            <w:tcMar>
              <w:top w:w="0" w:type="dxa"/>
              <w:bottom w:w="0" w:type="dxa"/>
            </w:tcMar>
          </w:tcPr>
          <w:p w:rsidR="001D6EAE" w:rsidRPr="00ED67AD" w:rsidRDefault="001D6EAE"/>
        </w:tc>
      </w:tr>
      <w:tr w:rsidR="001D6EAE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6EAE" w:rsidRPr="00ED67AD" w:rsidRDefault="001D6EAE">
            <w:pPr>
              <w:pStyle w:val="CVHeading3"/>
            </w:pPr>
            <w:r w:rsidRPr="00ED67AD">
              <w:t>E-mail(s)</w:t>
            </w:r>
          </w:p>
        </w:tc>
        <w:tc>
          <w:tcPr>
            <w:tcW w:w="7655" w:type="dxa"/>
            <w:gridSpan w:val="11"/>
          </w:tcPr>
          <w:p w:rsidR="001D6EAE" w:rsidRPr="00ED67AD" w:rsidRDefault="00884FDC" w:rsidP="00EB3186">
            <w:pPr>
              <w:pStyle w:val="CVNormal"/>
            </w:pPr>
            <w:hyperlink r:id="rId10" w:history="1">
              <w:r w:rsidR="00EB3186" w:rsidRPr="00F323C3">
                <w:rPr>
                  <w:rStyle w:val="Collegamentoipertestuale"/>
                </w:rPr>
                <w:t>edoardo.marcucci@himolde.no</w:t>
              </w:r>
            </w:hyperlink>
            <w:r w:rsidR="00EB3186">
              <w:t xml:space="preserve">; </w:t>
            </w:r>
            <w:r w:rsidR="0018149B" w:rsidRPr="00ED67AD">
              <w:t>e</w:t>
            </w:r>
            <w:r w:rsidR="003B476E" w:rsidRPr="00ED67AD">
              <w:t>doardo.marcucci</w:t>
            </w:r>
            <w:r w:rsidR="001D6EAE" w:rsidRPr="00ED67AD">
              <w:t>@</w:t>
            </w:r>
            <w:r w:rsidR="003B476E" w:rsidRPr="00ED67AD">
              <w:t>tlc.</w:t>
            </w:r>
            <w:r w:rsidR="00AE46B3" w:rsidRPr="00ED67AD">
              <w:t>uniroma3.it</w:t>
            </w:r>
          </w:p>
        </w:tc>
      </w:tr>
      <w:tr w:rsidR="001D6EAE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6EAE" w:rsidRPr="00ED67AD" w:rsidRDefault="001D6EAE">
            <w:pPr>
              <w:pStyle w:val="CVHeading3-FirstLine"/>
            </w:pPr>
            <w:r w:rsidRPr="00ED67AD">
              <w:t>Nationality</w:t>
            </w:r>
          </w:p>
        </w:tc>
        <w:tc>
          <w:tcPr>
            <w:tcW w:w="7655" w:type="dxa"/>
            <w:gridSpan w:val="11"/>
          </w:tcPr>
          <w:p w:rsidR="001D6EAE" w:rsidRPr="00ED67AD" w:rsidRDefault="001D6EAE">
            <w:pPr>
              <w:pStyle w:val="CVNormal-FirstLine"/>
            </w:pPr>
            <w:r w:rsidRPr="00ED67AD">
              <w:t xml:space="preserve">Italian </w:t>
            </w:r>
          </w:p>
        </w:tc>
      </w:tr>
      <w:tr w:rsidR="001D6EAE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6329C" w:rsidRPr="00C6329C" w:rsidRDefault="001D6EAE" w:rsidP="00C6329C">
            <w:pPr>
              <w:pStyle w:val="CVHeading3-FirstLine"/>
            </w:pPr>
            <w:r w:rsidRPr="00ED67AD">
              <w:t>Date of birth</w:t>
            </w:r>
          </w:p>
        </w:tc>
        <w:tc>
          <w:tcPr>
            <w:tcW w:w="7655" w:type="dxa"/>
            <w:gridSpan w:val="11"/>
          </w:tcPr>
          <w:p w:rsidR="001D6EAE" w:rsidRPr="00ED67AD" w:rsidRDefault="003B476E" w:rsidP="003B476E">
            <w:pPr>
              <w:pStyle w:val="CVNormal-FirstLine"/>
            </w:pPr>
            <w:r w:rsidRPr="00ED67AD">
              <w:t>25</w:t>
            </w:r>
            <w:r w:rsidR="001D6EAE" w:rsidRPr="00ED67AD">
              <w:t>/</w:t>
            </w:r>
            <w:r w:rsidRPr="00ED67AD">
              <w:t>10</w:t>
            </w:r>
            <w:r w:rsidR="001D6EAE" w:rsidRPr="00ED67AD">
              <w:t>/196</w:t>
            </w:r>
            <w:r w:rsidRPr="00ED67AD">
              <w:t>4</w:t>
            </w:r>
          </w:p>
        </w:tc>
      </w:tr>
      <w:tr w:rsidR="00C6329C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6329C" w:rsidRPr="00ED67AD" w:rsidRDefault="00C6329C">
            <w:pPr>
              <w:pStyle w:val="CVHeading3-FirstLine"/>
            </w:pPr>
            <w:r>
              <w:t>Place</w:t>
            </w:r>
            <w:r w:rsidRPr="00ED67AD">
              <w:t xml:space="preserve"> of birth</w:t>
            </w:r>
          </w:p>
        </w:tc>
        <w:tc>
          <w:tcPr>
            <w:tcW w:w="7655" w:type="dxa"/>
            <w:gridSpan w:val="11"/>
          </w:tcPr>
          <w:p w:rsidR="00C6329C" w:rsidRPr="00ED67AD" w:rsidRDefault="00C6329C">
            <w:pPr>
              <w:pStyle w:val="CVNormal-FirstLine"/>
            </w:pPr>
            <w:r>
              <w:t>Ancona (Italy)</w:t>
            </w:r>
          </w:p>
        </w:tc>
      </w:tr>
      <w:tr w:rsidR="00C6329C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6329C" w:rsidRPr="00ED67AD" w:rsidRDefault="00C6329C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C6329C" w:rsidRPr="00ED67AD" w:rsidRDefault="00C6329C">
            <w:pPr>
              <w:pStyle w:val="CVSpacer"/>
            </w:pPr>
          </w:p>
        </w:tc>
      </w:tr>
      <w:tr w:rsidR="00C6329C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6329C" w:rsidRPr="00ED67AD" w:rsidRDefault="00C6329C">
            <w:pPr>
              <w:pStyle w:val="CVHeading1"/>
            </w:pPr>
            <w:r w:rsidRPr="00ED67AD">
              <w:t>Work experience</w:t>
            </w:r>
          </w:p>
        </w:tc>
        <w:tc>
          <w:tcPr>
            <w:tcW w:w="7655" w:type="dxa"/>
            <w:gridSpan w:val="11"/>
          </w:tcPr>
          <w:p w:rsidR="00C6329C" w:rsidRPr="00ED67AD" w:rsidRDefault="00C6329C">
            <w:pPr>
              <w:pStyle w:val="CVNormal-FirstLine"/>
            </w:pPr>
          </w:p>
        </w:tc>
      </w:tr>
      <w:tr w:rsidR="00C6329C" w:rsidRPr="00ED67AD" w:rsidTr="00BC67F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6329C" w:rsidRPr="00ED67AD" w:rsidRDefault="00C6329C" w:rsidP="00BC67F2">
            <w:pPr>
              <w:pStyle w:val="CVHeading3-FirstLine"/>
            </w:pPr>
            <w:r w:rsidRPr="00ED67AD">
              <w:t>Dates</w:t>
            </w:r>
          </w:p>
        </w:tc>
        <w:tc>
          <w:tcPr>
            <w:tcW w:w="7655" w:type="dxa"/>
            <w:gridSpan w:val="11"/>
          </w:tcPr>
          <w:p w:rsidR="00C6329C" w:rsidRPr="00ED67AD" w:rsidRDefault="00EB3186" w:rsidP="000B5AF0">
            <w:pPr>
              <w:pStyle w:val="CVNormal-FirstLine"/>
            </w:pPr>
            <w:r>
              <w:t>2016 - currently</w:t>
            </w:r>
          </w:p>
        </w:tc>
      </w:tr>
      <w:tr w:rsidR="00EB3186" w:rsidRPr="00ED67AD" w:rsidTr="00BC67F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Occupation or position held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 xml:space="preserve">Professor of </w:t>
            </w:r>
            <w:r>
              <w:t>Transport Economics/Logistics</w:t>
            </w:r>
            <w:r w:rsidRPr="00ED67AD">
              <w:t xml:space="preserve">, </w:t>
            </w:r>
            <w:r>
              <w:t>Molde University College</w:t>
            </w:r>
          </w:p>
        </w:tc>
      </w:tr>
      <w:tr w:rsidR="00EB3186" w:rsidRPr="00ED67AD" w:rsidTr="00BC67F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Dates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 xml:space="preserve">2007 </w:t>
            </w:r>
            <w:r>
              <w:t>–</w:t>
            </w:r>
            <w:r w:rsidRPr="00ED67AD">
              <w:t xml:space="preserve"> currently</w:t>
            </w:r>
          </w:p>
        </w:tc>
      </w:tr>
      <w:tr w:rsidR="00EB3186" w:rsidRPr="00ED67AD" w:rsidTr="00BC67F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Occupation or position held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Associate Professor of Applied Economics, Roma Tre University</w:t>
            </w:r>
          </w:p>
        </w:tc>
      </w:tr>
      <w:tr w:rsidR="00EB3186" w:rsidRPr="00ED67AD" w:rsidTr="00BC67F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Dates</w:t>
            </w:r>
          </w:p>
        </w:tc>
        <w:tc>
          <w:tcPr>
            <w:tcW w:w="7655" w:type="dxa"/>
            <w:gridSpan w:val="11"/>
          </w:tcPr>
          <w:p w:rsidR="00FD740C" w:rsidRPr="00ED67AD" w:rsidRDefault="00EB3186" w:rsidP="00FD740C">
            <w:pPr>
              <w:pStyle w:val="CVNormal"/>
            </w:pPr>
            <w:r w:rsidRPr="00ED67AD">
              <w:t xml:space="preserve">2008 </w:t>
            </w:r>
            <w:r w:rsidR="00FD740C">
              <w:t>–</w:t>
            </w:r>
            <w:r w:rsidRPr="00ED67AD">
              <w:t xml:space="preserve"> </w:t>
            </w:r>
            <w:r>
              <w:t>currently</w:t>
            </w:r>
          </w:p>
        </w:tc>
      </w:tr>
      <w:tr w:rsidR="00EB3186" w:rsidRPr="00ED67AD" w:rsidTr="00BC67F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Occupation or position held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 xml:space="preserve">Member of the </w:t>
            </w:r>
            <w:r>
              <w:t>L</w:t>
            </w:r>
            <w:r w:rsidRPr="00ED67AD">
              <w:t>aw-</w:t>
            </w:r>
            <w:r>
              <w:t>E</w:t>
            </w:r>
            <w:r w:rsidRPr="00ED67AD">
              <w:t>conomics-</w:t>
            </w:r>
            <w:r>
              <w:t>P</w:t>
            </w:r>
            <w:r w:rsidRPr="00ED67AD">
              <w:t xml:space="preserve">olitical </w:t>
            </w:r>
            <w:r>
              <w:t>S</w:t>
            </w:r>
            <w:r w:rsidRPr="00ED67AD">
              <w:t>cience</w:t>
            </w:r>
            <w:r>
              <w:t>s</w:t>
            </w:r>
            <w:r w:rsidRPr="00ED67AD">
              <w:t xml:space="preserve"> Library</w:t>
            </w:r>
            <w:r>
              <w:t>’s</w:t>
            </w:r>
            <w:r w:rsidRPr="00ED67AD">
              <w:t xml:space="preserve"> Scientific Council, Roma Tre University</w:t>
            </w:r>
          </w:p>
        </w:tc>
      </w:tr>
      <w:tr w:rsidR="00EB3186" w:rsidRPr="00ED67AD" w:rsidTr="00BC67F2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Dates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 xml:space="preserve">2009 -- currently </w:t>
            </w:r>
          </w:p>
        </w:tc>
      </w:tr>
      <w:tr w:rsidR="00EB3186" w:rsidRPr="00ED67AD" w:rsidTr="00BC67F2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Occupation or position held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Member of the Doctoral School in Political Science, Roma Tre University</w:t>
            </w:r>
          </w:p>
        </w:tc>
      </w:tr>
      <w:tr w:rsidR="00EB3186" w:rsidRPr="00ED67AD" w:rsidTr="00BC67F2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-FirstLine"/>
            </w:pPr>
            <w:r w:rsidRPr="00ED67AD">
              <w:t>Dates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</w:pPr>
            <w:r w:rsidRPr="00ED67AD">
              <w:t xml:space="preserve">2009 </w:t>
            </w:r>
            <w:r>
              <w:t>–</w:t>
            </w:r>
            <w:r w:rsidRPr="00ED67AD">
              <w:t xml:space="preserve"> </w:t>
            </w:r>
            <w:r>
              <w:t>2016</w:t>
            </w:r>
            <w:r w:rsidRPr="00ED67AD">
              <w:t xml:space="preserve"> </w:t>
            </w:r>
          </w:p>
        </w:tc>
      </w:tr>
      <w:tr w:rsidR="00EB3186" w:rsidRPr="00ED67AD" w:rsidTr="00BC67F2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Occupation or position held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 xml:space="preserve">Director of the </w:t>
            </w:r>
            <w:r>
              <w:t xml:space="preserve">Inter-departmental </w:t>
            </w:r>
            <w:r w:rsidRPr="00ED67AD">
              <w:t>Centre for Research on Economics and Institutions, Roma Tre University</w:t>
            </w:r>
          </w:p>
        </w:tc>
      </w:tr>
      <w:tr w:rsidR="00EB3186" w:rsidRPr="00ED67AD" w:rsidTr="00BC67F2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Dates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 xml:space="preserve">2009 -- </w:t>
            </w:r>
            <w:r>
              <w:t>2013</w:t>
            </w:r>
            <w:r w:rsidRPr="00ED67AD">
              <w:t xml:space="preserve"> </w:t>
            </w:r>
          </w:p>
        </w:tc>
      </w:tr>
      <w:tr w:rsidR="00EB3186" w:rsidRPr="00ED67AD" w:rsidTr="00BC67F2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Occupation or position held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Member of the Doctoral School in Integrated sciences for environmental sustainability, University of Trieste</w:t>
            </w:r>
          </w:p>
        </w:tc>
      </w:tr>
      <w:tr w:rsidR="00EB3186" w:rsidRPr="00ED67AD" w:rsidTr="00BC67F2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Dates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2001 – 2007</w:t>
            </w:r>
          </w:p>
        </w:tc>
      </w:tr>
      <w:tr w:rsidR="00EB3186" w:rsidRPr="00ED67AD" w:rsidTr="00BC67F2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Occupation or position held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Associate Professor of Applied Economics, University of Urbino</w:t>
            </w:r>
          </w:p>
        </w:tc>
      </w:tr>
      <w:tr w:rsidR="00EB3186" w:rsidRPr="00ED67AD" w:rsidTr="00BC67F2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-FirstLine"/>
            </w:pPr>
            <w:r w:rsidRPr="00ED67AD">
              <w:t>Dates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</w:pPr>
            <w:r>
              <w:t>1998-2000</w:t>
            </w:r>
          </w:p>
        </w:tc>
      </w:tr>
      <w:tr w:rsidR="00EB3186" w:rsidRPr="00ED67AD" w:rsidTr="00BC67F2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Occupation or position held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Lecturer in Transport and Logistics, Transport Economics and Logistic Systems, Environmental Economics and Land Economy; University of Urbino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1"/>
            </w:pPr>
            <w:r w:rsidRPr="00ED67AD">
              <w:t>Education and training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</w:pP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-FirstLine"/>
            </w:pPr>
            <w:r w:rsidRPr="00ED67AD">
              <w:t>Place and date</w:t>
            </w:r>
          </w:p>
        </w:tc>
        <w:tc>
          <w:tcPr>
            <w:tcW w:w="7655" w:type="dxa"/>
            <w:gridSpan w:val="11"/>
          </w:tcPr>
          <w:p w:rsidR="00EB3186" w:rsidRPr="00ED67AD" w:rsidRDefault="00F77C1B" w:rsidP="00F77C1B">
            <w:pPr>
              <w:pStyle w:val="CVNormal-FirstLine"/>
              <w:ind w:left="0"/>
            </w:pPr>
            <w:r>
              <w:t xml:space="preserve"> </w:t>
            </w:r>
            <w:r w:rsidR="00EB3186" w:rsidRPr="00ED67AD">
              <w:t>The Paul H. Nitze School of Advanced International Studies (SAIS), 1988 – 1990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Title of qualification awarded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Master of Arts in International Economics and International Relations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Place and date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University of Urbino, 1985 – 1988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Title of qualification awarded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  <w:ind w:left="720" w:hanging="607"/>
            </w:pPr>
            <w:r w:rsidRPr="00ED67AD">
              <w:t xml:space="preserve">BSc Degree in </w:t>
            </w:r>
            <w:r>
              <w:t>E</w:t>
            </w:r>
            <w:r w:rsidRPr="00ED67AD">
              <w:t xml:space="preserve">conomics and </w:t>
            </w:r>
            <w:r>
              <w:t>B</w:t>
            </w:r>
            <w:r w:rsidRPr="00ED67AD">
              <w:t>usiness, Magna cum Laude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Place and date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 w:rsidRPr="00C45E42">
              <w:t xml:space="preserve">Central Connecticut State University, New Britain, CT, USA, </w:t>
            </w:r>
            <w:r>
              <w:t>Fall semester 1986</w:t>
            </w:r>
            <w:r w:rsidRPr="00ED67AD">
              <w:t xml:space="preserve"> 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Title of qualification awarded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 w:rsidRPr="00C45E42">
              <w:t>Exchange student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8B7095" w:rsidP="008B7095">
            <w:pPr>
              <w:pStyle w:val="CVHeading1"/>
            </w:pPr>
            <w:r>
              <w:lastRenderedPageBreak/>
              <w:t>Selected p</w:t>
            </w:r>
            <w:r w:rsidR="00EB3186" w:rsidRPr="00ED67AD">
              <w:t>ublications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</w:pP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Spacer"/>
            </w:pP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-FirstLine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  <w:rPr>
                <w:b/>
              </w:rPr>
            </w:pPr>
            <w:r w:rsidRPr="00ED67AD">
              <w:rPr>
                <w:b/>
              </w:rPr>
              <w:t>Books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Marcucci E., Gatta V., Stathopoulos A., Valeri E., (2013), Urban freight transport modelling: an agent-specific approach, Collana Economia e Ricerche, Franco Angeli, Milano. ISBN: 9788856859836.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B3186" w:rsidRDefault="00EB3186" w:rsidP="00EB3186">
            <w:pPr>
              <w:pStyle w:val="CVHeading3"/>
              <w:rPr>
                <w:lang w:val="it-IT"/>
              </w:rPr>
            </w:pP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Normal-FirstLine"/>
              <w:rPr>
                <w:b/>
              </w:rPr>
            </w:pPr>
            <w:r w:rsidRPr="00ED67AD">
              <w:rPr>
                <w:b/>
              </w:rPr>
              <w:t>Special Issues (Guest Editor)</w:t>
            </w:r>
          </w:p>
          <w:p w:rsidR="00EB3186" w:rsidRPr="00C6329C" w:rsidRDefault="00EB3186" w:rsidP="00EB3186">
            <w:pPr>
              <w:pStyle w:val="CVNormal"/>
            </w:pP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F77C1B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Default="00EB3186" w:rsidP="008B7095">
            <w:pPr>
              <w:pStyle w:val="CVNormal"/>
            </w:pPr>
            <w:r>
              <w:t>Holguin-Veras, J., Marcucci, E., Cara, W. (</w:t>
            </w:r>
            <w:r w:rsidR="008B7095">
              <w:t>2016</w:t>
            </w:r>
            <w:r>
              <w:t>), “Freight Behaviour Research”, Transportation Research Part A.</w:t>
            </w:r>
          </w:p>
        </w:tc>
      </w:tr>
      <w:tr w:rsidR="00F77C1B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77C1B" w:rsidRDefault="00F77C1B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F77C1B" w:rsidRDefault="00F77C1B" w:rsidP="00EB3186">
            <w:pPr>
              <w:pStyle w:val="CVNormal"/>
            </w:pPr>
            <w:r>
              <w:t>Marcucci E., Gatta, V., Macharis, C. (forthcoming), “</w:t>
            </w:r>
            <w:r w:rsidRPr="00F77C1B">
              <w:t>Urban freight policy implementation: case studies</w:t>
            </w:r>
            <w:r>
              <w:t>”, Research in Transportation Economics.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Normal"/>
            </w:pPr>
            <w:r>
              <w:t>Marcucci E., Gatta, V., Macharis, C. (forthcoming), “</w:t>
            </w:r>
            <w:r w:rsidR="00F77C1B" w:rsidRPr="00F77C1B">
              <w:t>Urban freight policy implementation: assessment methods</w:t>
            </w:r>
            <w:r>
              <w:t>”, Research in Transportation Economics.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>
              <w:t>Marcucci E., Gatta, V., Dablanc, L. (forthcoming), “Urban freight distribution, land use planning and public administration strategies”, Region.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>
              <w:t>Marcucci E., Gatta, V., Browne, M. (forthcoming), “Urban policy, freight distribution and behaviour change: stakeholders’ engagement, perception and reaction”, Italian Journal of Regional Sciences.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8B7095">
            <w:pPr>
              <w:pStyle w:val="CVNormal"/>
            </w:pPr>
            <w:r w:rsidRPr="00ED67AD">
              <w:t>Marcucci E., Puckett S., (Guest editors), (2013) “Freight Transport: Data, Models, and Policies. Challenges and future perspectives”, International Journal of Transport Economics, XL, Vol. 2, ISSN: 1556-8318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Marcucci E., Puckett S., (Guest Editors), (2012), “Freight transport analysis: new trends and methodologies”, European Transport/Trasporti Europei, Special Issue, ISSN1825-3997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Marcucci, E., Macharis, C., (2004), “Freight transport analysis and intermodality”, (Editors) European Transport/Trasporti Europei, Special Issue n° 25/26, December 2003/April 2004, ISSN: 1825-3997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8B7095">
            <w:pPr>
              <w:pStyle w:val="CVNormal-FirstLine"/>
              <w:rPr>
                <w:b/>
              </w:rPr>
            </w:pPr>
            <w:r w:rsidRPr="00ED67AD">
              <w:rPr>
                <w:b/>
              </w:rPr>
              <w:t xml:space="preserve">Journal </w:t>
            </w:r>
            <w:r w:rsidR="008B7095">
              <w:rPr>
                <w:b/>
              </w:rPr>
              <w:t>Articles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406C36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6B4815" w:rsidRDefault="00EB3186" w:rsidP="00EB3186">
            <w:pPr>
              <w:pStyle w:val="CVNormal"/>
            </w:pPr>
            <w:r>
              <w:t>Gatta, V., Marcucci, E., (2016), Behavioural implications of non-linear effects on urban freight transport policies. The case of retailers and transport providers in Rome, Case Studies on Transport Policy, 4 (1), pp. 22-28. DOI: 10.1016/j.cstp.2015.08.001.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Normal"/>
            </w:pPr>
            <w:r>
              <w:t xml:space="preserve">Marcucci, E., Gatta, V. (2016), How good are retailers in predicting transport providers’ preferences for urban freight policies?... and vice versa? </w:t>
            </w:r>
            <w:r w:rsidRPr="009E6CAF">
              <w:t>Transportat</w:t>
            </w:r>
            <w:r>
              <w:t xml:space="preserve">ion Research Procedia 12, </w:t>
            </w:r>
            <w:r w:rsidRPr="009E6CAF">
              <w:t>193 – 202</w:t>
            </w:r>
            <w:r>
              <w:t>. DOI: 10.1016/J.trpro.2016.02.058.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B215C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>
              <w:t>Gatta, V., Marcucci, E. (2016), Stakeholder-specific data acquisition and urban freight policy           evaluation: evidence, implications and new suggestions, Transport Reviews, 1-25.</w:t>
            </w:r>
            <w:r w:rsidRPr="00ED67AD">
              <w:t xml:space="preserve"> </w:t>
            </w:r>
            <w:r>
              <w:t>DOI: 10.1080/01441647.2015.1126385.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Marcucci E., Gatta V., Scaccia L., (2015), “Urban freight, parking and pricing policies: An evaluation from a transport providers’ perspective”, Transportation Research Part A: Policy and Practice 74, 239-249</w:t>
            </w:r>
            <w:r>
              <w:t>. DOI: 10.1016/j.tra.2015.02.011.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Gatta V., Marcucci E., (2014), “Urban freight transport and policy changes: Improving decision makers' awareness via an agent-specific approach</w:t>
            </w:r>
            <w:r>
              <w:t>”, Transport Policy 36, 248-252, DOI: 10.1016/j.tranpol.2014.09.007.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Marcucci E., Gatta V., Stathopolous A., Valeri E., (2013), “Urban freight policy acceptability: Eliciting agent specific preferences via efficient experimental design”, Zeitschrift fuer Verkehrswissenschaft, Vol. 84/3, pp. 237-59, ISSN: 0044-3670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Marcucci E., Puckett S., (2013), “Freight Transport: Data, Models, and Policies. Challenges and future perspectives”, Marcucci E., Puckett S., (Gue</w:t>
            </w:r>
            <w:r>
              <w:t>st editors), “Freight Transport</w:t>
            </w:r>
            <w:r w:rsidRPr="00ED67AD">
              <w:t>: Data, Models, and Policies. Cha</w:t>
            </w:r>
            <w:r w:rsidR="00B215C6">
              <w:t>llenges and future perspectives</w:t>
            </w:r>
            <w:r w:rsidRPr="00ED67AD">
              <w:t>”, International Journal of Transport Economics, Vol.XL n</w:t>
            </w:r>
            <w:r>
              <w:t xml:space="preserve">° </w:t>
            </w:r>
            <w:r w:rsidRPr="00ED67AD">
              <w:t>2 giugno 2013, pp.</w:t>
            </w:r>
            <w:r>
              <w:t xml:space="preserve"> </w:t>
            </w:r>
            <w:r w:rsidRPr="00ED67AD">
              <w:t>141 – 151. ISSN: 1556-8318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B215C6">
            <w:pPr>
              <w:pStyle w:val="CVNormal"/>
            </w:pPr>
            <w:r w:rsidRPr="00ED67AD">
              <w:t>Marcucci E., Gatta V., (2013), “Intra-agent heterogeneity in urban freight distribution: th</w:t>
            </w:r>
            <w:r w:rsidR="00B215C6">
              <w:t>e case of own-account operators</w:t>
            </w:r>
            <w:r w:rsidRPr="00ED67AD">
              <w:t>”</w:t>
            </w:r>
            <w:r w:rsidR="00B215C6">
              <w:t xml:space="preserve"> in </w:t>
            </w:r>
            <w:r w:rsidRPr="00ED67AD">
              <w:t>Marcucci E., Puckett S., (Gue</w:t>
            </w:r>
            <w:r>
              <w:t>st editors), “Freight Transport</w:t>
            </w:r>
            <w:r w:rsidRPr="00ED67AD">
              <w:t>: Data, Models, and Policies. Challenges and future perspectives ”, International Journal of Transport Economics, Vol. XL n</w:t>
            </w:r>
            <w:r w:rsidR="008B7095">
              <w:t>°</w:t>
            </w:r>
            <w:r w:rsidRPr="00ED67AD">
              <w:t>2 giugno 2013, pp.267 - 284 ISSN: ISSN: 1556-8318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Marcucci E., Gatta V., Stathopoulos A., Valeri E., (2012), “</w:t>
            </w:r>
            <w:r>
              <w:t xml:space="preserve">A stated ranking experiment to study policy acceptance: the case of freight operators in Rome’s LTZ”, </w:t>
            </w:r>
            <w:r w:rsidRPr="00ED67AD">
              <w:t>Italian Journal of Regional Science Association. Vol. 11, n.3, pp.11-30</w:t>
            </w:r>
            <w:r>
              <w:t>. DOI: 10.3280/SCRE2012-003002.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>
              <w:t xml:space="preserve">Stathopoulos A., Valeri V., </w:t>
            </w:r>
            <w:r w:rsidRPr="00ED67AD">
              <w:t xml:space="preserve">Marcucci E., </w:t>
            </w:r>
            <w:r>
              <w:t xml:space="preserve">(2012), </w:t>
            </w:r>
            <w:r w:rsidRPr="00ED67AD">
              <w:t xml:space="preserve">"Stakeholder reactions to urban freight policy innovation", Journal of Transport Geography, </w:t>
            </w:r>
            <w:r>
              <w:t>22, pp. 34-45, DOI</w:t>
            </w:r>
            <w:r w:rsidRPr="00ED67AD">
              <w:t>: 10.1016/j.jtrangeo.2011.11.017</w:t>
            </w:r>
            <w:r>
              <w:t>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Massiani J., Danielis R., Marcucci E., (2009) "Specific vs. generic goods: implications for transport demand analysis"; International Journal of Transport Econo</w:t>
            </w:r>
            <w:r>
              <w:t>mics, Vol. XXXVI, n° 3,</w:t>
            </w:r>
            <w:r w:rsidRPr="00ED67AD">
              <w:t xml:space="preserve"> pp. 377-395, ISSN: 0019-7416, doi: 10.1430/30005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Marcucci, E., Danielis, R. (2008), “The potential demand for a urban freight consolidation centre”, Transportation, vol. 35, pp- 269-284, ISSN: 0049-4488,  doi: 10.1007/s11116-007-9147-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Marcucci, E., Massiani, J., Danielis, R., (2007), “The heterogeneity in shipper’s value of time: results from an SP experiment using mixed logit and latent class”, Pomorstvo- Journal of Maritime Studies, vol. 21, n° 2, pp. 69-93, ISSN: 1332-0718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Danielis, R., Marcucci, E., (2007), “Attribute cut-offs in freight service selection” T</w:t>
            </w:r>
            <w:r>
              <w:t>ransportation Research Part E.,</w:t>
            </w:r>
            <w:r w:rsidRPr="00ED67AD">
              <w:t xml:space="preserve"> Vol.</w:t>
            </w:r>
            <w:r>
              <w:t xml:space="preserve"> </w:t>
            </w:r>
            <w:r w:rsidRPr="00ED67AD">
              <w:t>43</w:t>
            </w:r>
            <w:r>
              <w:t>(5)</w:t>
            </w:r>
            <w:r w:rsidRPr="00ED67AD">
              <w:t>,  pp. 506-515,  ISSN: 1366-5545, doi: 10.1016/j.tre.2005.10.002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Danielis, R., Marcucci, E., Rotaris, L. (2005), “Logistics managers’ stated preferences for freight service attributes”, Transportation Research Part E, 41, pp. 201-215, ISSN: 1366-5545, doi : 10.1016/j.tre.2004.04.003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"/>
            </w:pPr>
            <w:r w:rsidRPr="00ED67AD">
              <w:t>Marcucci, E., Scaccia, L., (2004), “Mode choice models with attribute cutoffs analysis: the case of freight transport in the Marche region”, European Transport/Trasp</w:t>
            </w:r>
            <w:r>
              <w:t xml:space="preserve">orti Europei, Special Issue n° </w:t>
            </w:r>
            <w:r w:rsidRPr="00ED67AD">
              <w:t>25/26, December 2003/April 2004, pp. 21-32, ISSN: 1825-3997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EB3186" w:rsidRPr="00ED67AD" w:rsidRDefault="008B7095" w:rsidP="00EB3186">
            <w:pPr>
              <w:pStyle w:val="CVNormal-FirstLine"/>
            </w:pPr>
            <w:r>
              <w:rPr>
                <w:b/>
              </w:rPr>
              <w:t>Book chapters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B215C6" w:rsidRPr="00B215C6" w:rsidRDefault="00EB3186" w:rsidP="008B7095">
            <w:pPr>
              <w:pStyle w:val="CVNormal-FirstLine"/>
              <w:spacing w:before="0"/>
            </w:pPr>
            <w:r w:rsidRPr="00EB3186">
              <w:rPr>
                <w:lang w:val="it-IT"/>
              </w:rPr>
              <w:t xml:space="preserve">Marcucci E, Gatta V, Scaccia L (2016). </w:t>
            </w:r>
            <w:r w:rsidRPr="009664D1">
              <w:t>A behavioral assessment of parking and pricing urban freight transport policies. In: (Ed.): Silvestrelli P., Sustainable development for territories. Threats and opportunities, p. 289-305, EUM, ISBN: 978-88-6056-464-1.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  <w:spacing w:before="0"/>
            </w:pPr>
            <w:r w:rsidRPr="00ED67AD">
              <w:t>Marcucci E., Gatta V., (2014), “Behavioral Modeling of Urban Freight Transport”, in Gonzalez-Feliu, Jesus, Semet, Frédéric, Routhier, Jean-Louis (Eds.), Sustainable Urban Logistics: Concepts, Methods and Information Systems, pp. 227-243, Springer Berlin and Heidelberg. ISBN 978-3-642-31788-0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  <w:spacing w:before="0"/>
            </w:pPr>
            <w:r w:rsidRPr="00ED67AD">
              <w:t>Marcucci E., (2013), “ Logistics managers’ stated preferences for freight service attributes: a comparative research method analysis”, in Van de Voorde E., Ben-Akiva M., Meersman H., (Editors), Freight Transport Modelling, Emerald, pp. 251-280, ISBN: 978-1-78190-285-1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  <w:spacing w:before="0"/>
            </w:pPr>
            <w:r w:rsidRPr="00ED67AD">
              <w:t>Marcucci E., Stathopoulos A., Valeri E., Gatta V., Nuzzolo A., Comi A., (2011), “Urban Freight Policy Innovation for Rome’s LTZ: A Stakeholder Prospective”, in Macharis C., e Melo S.,  (Editors), City Distribution and Urban Freight Transport, Edward Elgar Publishing Limited, Cheltenham, pp. 75-100, ISBN -13 978-0857932747Musics, Movies, Golf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  <w:spacing w:before="0"/>
            </w:pPr>
            <w:r w:rsidRPr="00ED67AD">
              <w:t>Marcucci E., Musso E., (2010), “Urban Freight Modelling and Policy Analysis” in Van de Voorde, E. and Vanelslader, T., (Edittors), Applied Transport Economics. A Management and Policy Perspective, de Boeck, Antwerpen, pp. 385-406, ISBN: 9789045532196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  <w:rPr>
                <w:sz w:val="24"/>
                <w:szCs w:val="24"/>
              </w:rPr>
            </w:pPr>
            <w:r w:rsidRPr="00ED67AD">
              <w:rPr>
                <w:b/>
                <w:sz w:val="24"/>
                <w:szCs w:val="24"/>
              </w:rPr>
              <w:t>Research Funds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  <w:rPr>
                <w:b/>
              </w:rPr>
            </w:pP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Heading3"/>
              <w:jc w:val="left"/>
            </w:pPr>
            <w:r>
              <w:t xml:space="preserve">TPS, s.r.l., - LOGI.CO, Collaborative Logistic Research grant, Prototypical software development, Principal investigator. </w:t>
            </w:r>
            <w:r w:rsidR="00B47E79">
              <w:t>2016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>
              <w:t xml:space="preserve">H2020 – </w:t>
            </w:r>
            <w:r w:rsidRPr="00552773">
              <w:t xml:space="preserve">CIVITAS CITYLAB - City Logistics in Living Laboratories </w:t>
            </w:r>
            <w:r>
              <w:t>– Responsible for University of Roma Tre, research group. (</w:t>
            </w:r>
            <w:r w:rsidRPr="009E6CAF">
              <w:t>http://www.citylab-project.eu</w:t>
            </w:r>
            <w:r>
              <w:t>). 2015.</w:t>
            </w:r>
            <w:r w:rsidRPr="00ED67AD">
              <w:t xml:space="preserve"> 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 w:rsidRPr="00ED67AD">
              <w:t>European Economic Interest Grouping for Corridor D, Responsible for railway supply analysis, member of the research gro</w:t>
            </w:r>
            <w:r w:rsidR="00B215C6">
              <w:t>up for modal split modelling</w:t>
            </w:r>
            <w:r>
              <w:t xml:space="preserve"> (</w:t>
            </w:r>
            <w:r w:rsidRPr="00ED67AD">
              <w:t>SP, RP, SP/RP), Project financed: “Transport Market Study on rail freight Corridor 6”, Roma 2013</w:t>
            </w:r>
            <w:r>
              <w:t>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>
              <w:t>CINECA, Italian SuperComputing Resource Allocation – ISCRA. CONFINT Project – Willingness to pay CONfidence INTerval estimation methods, Rome, 2013.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 w:rsidRPr="00ED67AD">
              <w:t>Relevant National Research Project (PRIN) 2008, Methods and models for estimating the efficacy of urban freight distribution strategies (Research Unit Coordinator)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 w:rsidRPr="00ED67AD">
              <w:t>Volvo Research and Educational Foundations (SP-2007-50, 2008-2009) and Center for Transport and Logistic Research, University of Roma “La Sapienza” “Innovative solutions to freight distribution in the complex large urban area of Rome”, Roma 2009</w:t>
            </w:r>
            <w:r>
              <w:t>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 w:rsidRPr="00ED67AD">
              <w:t>Regional Agency for Mobi</w:t>
            </w:r>
            <w:r>
              <w:t xml:space="preserve">lity Lazio Region (AREMOL) and </w:t>
            </w:r>
            <w:r w:rsidRPr="00ED67AD">
              <w:t>Center for Transport and Logistic Research, University of Roma “La Sapienza, member of the research group on “Regional Freight and Logistic Transport Plan” Rome, 2009</w:t>
            </w:r>
            <w:r>
              <w:t>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 w:rsidRPr="00ED67AD">
              <w:t>Economics and Qu</w:t>
            </w:r>
            <w:r>
              <w:t xml:space="preserve">antitative Methods Department, </w:t>
            </w:r>
            <w:r w:rsidRPr="00ED67AD">
              <w:t>University of Urbino, “Departure airport choice in multi a</w:t>
            </w:r>
            <w:r>
              <w:t xml:space="preserve">irport regions”, Team Leader,  </w:t>
            </w:r>
            <w:r w:rsidRPr="00ED67AD">
              <w:t>Rome 2008</w:t>
            </w:r>
            <w:r>
              <w:t>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 w:rsidRPr="00ED67AD">
              <w:t>Relevant National Research Project (PRIN) 2002, Economic regulation of multimodal international corridors: generalised economic evaluation of transport and technologies for intermodal transportation growth (Research Unit Coordinator)</w:t>
            </w:r>
            <w:r>
              <w:t>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 w:rsidRPr="00ED67AD">
              <w:t>Relevant National Research Project (PRIN) 2000, Effects of logistic innovations on modal competition in the Marche Region</w:t>
            </w:r>
            <w:r>
              <w:t>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Conferences Organised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</w:pP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04164B" w:rsidRDefault="00EB3186" w:rsidP="00EB3186">
            <w:pPr>
              <w:pStyle w:val="CVHeading3"/>
            </w:pPr>
            <w:r w:rsidRPr="0004164B">
              <w:t>2015, October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>
              <w:t>URBE 2015 – Urban freight and Behaviour Change, Department of Political Sciences, Rome 1-2 October 2015. Chair of local organising committee and member of the scientific committee.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7471B4" w:rsidRDefault="00EB3186" w:rsidP="00EB3186">
            <w:pPr>
              <w:pStyle w:val="CVHeading3"/>
            </w:pPr>
            <w:r w:rsidRPr="007471B4">
              <w:t>2010</w:t>
            </w:r>
            <w:r>
              <w:t>, June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>
              <w:t>XII National Scientific Meeting of the Italian Society of Transport Economics and Logistics, Rome 17-18 June 2010. Chair of local organising committee and member of the scientific committee.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tbl>
            <w:tblPr>
              <w:tblW w:w="1077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  <w:gridCol w:w="7655"/>
            </w:tblGrid>
            <w:tr w:rsidR="00EB3186" w:rsidRPr="00ED67AD" w:rsidTr="00AD41FE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EB3186" w:rsidRPr="00EE7A13" w:rsidRDefault="00EB3186" w:rsidP="00EB3186">
                  <w:pPr>
                    <w:pStyle w:val="CVHeading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Scientific and Editorial Committees</w:t>
                  </w:r>
                </w:p>
              </w:tc>
              <w:tc>
                <w:tcPr>
                  <w:tcW w:w="7655" w:type="dxa"/>
                </w:tcPr>
                <w:p w:rsidR="00EB3186" w:rsidRPr="00ED67AD" w:rsidRDefault="00EB3186" w:rsidP="00EB3186">
                  <w:pPr>
                    <w:pStyle w:val="CVNormal-FirstLine"/>
                  </w:pPr>
                </w:p>
              </w:tc>
            </w:tr>
          </w:tbl>
          <w:p w:rsidR="00EB3186" w:rsidRDefault="00EB3186" w:rsidP="00EB3186">
            <w:pPr>
              <w:pStyle w:val="CVHeading3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</w:pP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044214" w:rsidRDefault="00EB3186" w:rsidP="00EB3186">
            <w:pPr>
              <w:pStyle w:val="CVHeading3"/>
            </w:pPr>
            <w:r>
              <w:t>Scientific Associations</w:t>
            </w: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Normal-FirstLine"/>
            </w:pP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</w:pPr>
            <w:r>
              <w:t>2009 - present</w:t>
            </w: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Heading3"/>
              <w:jc w:val="left"/>
            </w:pPr>
            <w:r>
              <w:t>Inter-University Research Canter on Physical Polluting Agents</w:t>
            </w:r>
            <w:r w:rsidRPr="0004164B">
              <w:t xml:space="preserve"> (CIRIAF), Universit</w:t>
            </w:r>
            <w:r>
              <w:t>y of</w:t>
            </w:r>
            <w:r w:rsidRPr="0004164B">
              <w:t xml:space="preserve"> Perugia. </w:t>
            </w:r>
            <w:r>
              <w:t>Member of the Scientific Committee</w:t>
            </w:r>
            <w:r w:rsidRPr="0004164B">
              <w:t>.</w:t>
            </w:r>
            <w:r>
              <w:t xml:space="preserve"> 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044214" w:rsidRDefault="00EB3186" w:rsidP="00EB3186">
            <w:pPr>
              <w:pStyle w:val="CVHeading3"/>
            </w:pPr>
            <w:r>
              <w:t>2012</w:t>
            </w:r>
            <w:r w:rsidRPr="00044214">
              <w:t>-</w:t>
            </w:r>
            <w:r>
              <w:t xml:space="preserve"> present</w:t>
            </w: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Heading3"/>
              <w:jc w:val="left"/>
            </w:pPr>
            <w:r>
              <w:t>Italian Society of Transport Economics and Logistics, Member of the Executive Committee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</w:pPr>
            <w:r>
              <w:t>2014- present</w:t>
            </w: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Heading3"/>
              <w:jc w:val="left"/>
            </w:pPr>
            <w:r>
              <w:t>Italian Association of Transport Policy, Member and Responsible for the Market and Competition Section.</w:t>
            </w:r>
          </w:p>
        </w:tc>
      </w:tr>
      <w:tr w:rsidR="005D7D34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D7D34" w:rsidRDefault="005D7D34" w:rsidP="005D7D34">
            <w:pPr>
              <w:pStyle w:val="CVHeading3"/>
            </w:pPr>
            <w:r>
              <w:t>2013- 2015</w:t>
            </w:r>
          </w:p>
        </w:tc>
        <w:tc>
          <w:tcPr>
            <w:tcW w:w="7655" w:type="dxa"/>
            <w:gridSpan w:val="11"/>
          </w:tcPr>
          <w:p w:rsidR="005D7D34" w:rsidRDefault="005D7D34" w:rsidP="005D7D34">
            <w:pPr>
              <w:pStyle w:val="CVHeading3"/>
              <w:jc w:val="left"/>
            </w:pPr>
            <w:r>
              <w:t>Italian Association of Regional Economics, Member of the Executive Board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  <w:rPr>
                <w:b/>
                <w:sz w:val="24"/>
                <w:szCs w:val="24"/>
              </w:rPr>
            </w:pPr>
            <w:r w:rsidRPr="00044214">
              <w:t>2011-</w:t>
            </w:r>
            <w:r>
              <w:t xml:space="preserve"> 2014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Heading3"/>
              <w:jc w:val="left"/>
            </w:pPr>
            <w:r>
              <w:t>International Transport Economics Association, General Secretary and founding father.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</w:pPr>
            <w:r>
              <w:t>2012</w:t>
            </w:r>
            <w:r w:rsidRPr="00044214">
              <w:t>-</w:t>
            </w:r>
            <w:r>
              <w:t xml:space="preserve"> 2003</w:t>
            </w: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Heading3"/>
              <w:jc w:val="left"/>
            </w:pPr>
            <w:r>
              <w:t>Italian Society of Transport Economics and Logistics, General Secretary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</w:pPr>
            <w:r>
              <w:t>Editorial Boards</w:t>
            </w: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Normal-FirstLine"/>
            </w:pP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</w:pPr>
            <w:r>
              <w:t>2013- present</w:t>
            </w: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Heading3"/>
              <w:jc w:val="left"/>
            </w:pPr>
            <w:r w:rsidRPr="00D77F6A">
              <w:t xml:space="preserve">Scienze Regionali: Italian Journal of Regional Science, </w:t>
            </w:r>
            <w:r>
              <w:t>Member of the Editorial Board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</w:pPr>
            <w:r>
              <w:t>2014 - present</w:t>
            </w: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Heading3"/>
              <w:jc w:val="left"/>
            </w:pPr>
            <w:r>
              <w:t>Economia agro-alimentare Journal, Member of the Scientific Committee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</w:pPr>
            <w:r>
              <w:t>2002-2011</w:t>
            </w: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Heading3"/>
              <w:jc w:val="left"/>
            </w:pPr>
            <w:r>
              <w:t>Trasporti Europei/European Transport, Member of the Editorial Board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Default="00EB3186" w:rsidP="00EB3186">
            <w:pPr>
              <w:pStyle w:val="CVHeading3"/>
              <w:jc w:val="left"/>
            </w:pP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  <w:rPr>
                <w:b/>
                <w:sz w:val="24"/>
                <w:szCs w:val="24"/>
              </w:rPr>
            </w:pPr>
            <w:r w:rsidRPr="00ED67AD">
              <w:rPr>
                <w:b/>
                <w:sz w:val="24"/>
                <w:szCs w:val="24"/>
              </w:rPr>
              <w:t>Personal skills and competences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</w:pP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</w:pP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04164B" w:rsidRDefault="00EB3186" w:rsidP="00EB3186">
            <w:pPr>
              <w:pStyle w:val="CVHeading3"/>
            </w:pPr>
            <w:r w:rsidRPr="0004164B">
              <w:t>Mother tongue</w:t>
            </w:r>
          </w:p>
        </w:tc>
        <w:tc>
          <w:tcPr>
            <w:tcW w:w="7655" w:type="dxa"/>
            <w:gridSpan w:val="11"/>
          </w:tcPr>
          <w:p w:rsidR="00EB3186" w:rsidRPr="007B3099" w:rsidRDefault="00EB3186" w:rsidP="00EB3186">
            <w:pPr>
              <w:pStyle w:val="CVNormal-FirstLine"/>
              <w:spacing w:before="0"/>
            </w:pPr>
            <w:r w:rsidRPr="007B3099">
              <w:t>Italian</w:t>
            </w:r>
          </w:p>
        </w:tc>
      </w:tr>
      <w:tr w:rsidR="00EB3186" w:rsidRPr="00ED67AD" w:rsidTr="0079233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Other languages</w:t>
            </w: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  <w:spacing w:before="0"/>
            </w:pPr>
            <w:r w:rsidRPr="00ED67AD">
              <w:t>English, French, Spanish</w:t>
            </w:r>
          </w:p>
        </w:tc>
      </w:tr>
      <w:tr w:rsidR="00EB3186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-FirstLine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Medium-FirstLine"/>
            </w:pPr>
          </w:p>
        </w:tc>
      </w:tr>
      <w:tr w:rsidR="00EB3186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rPr>
                <w:b/>
              </w:rPr>
              <w:t>Self-assessment</w:t>
            </w:r>
          </w:p>
        </w:tc>
        <w:tc>
          <w:tcPr>
            <w:tcW w:w="140" w:type="dxa"/>
          </w:tcPr>
          <w:p w:rsidR="00EB3186" w:rsidRPr="00ED67AD" w:rsidRDefault="00EB3186" w:rsidP="00EB3186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186" w:rsidRPr="00ED67AD" w:rsidRDefault="00EB3186" w:rsidP="00EB3186">
            <w:pPr>
              <w:pStyle w:val="LevelAssessment-Heading1"/>
            </w:pPr>
            <w:r w:rsidRPr="00ED67AD"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186" w:rsidRPr="00ED67AD" w:rsidRDefault="00EB3186" w:rsidP="00EB3186">
            <w:pPr>
              <w:pStyle w:val="LevelAssessment-Heading1"/>
            </w:pPr>
            <w:r w:rsidRPr="00ED67AD"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186" w:rsidRPr="00ED67AD" w:rsidRDefault="00EB3186" w:rsidP="00EB3186">
            <w:pPr>
              <w:pStyle w:val="LevelAssessment-Heading1"/>
            </w:pPr>
            <w:r w:rsidRPr="00ED67AD">
              <w:t>Writing</w:t>
            </w:r>
          </w:p>
        </w:tc>
      </w:tr>
      <w:tr w:rsidR="00EB3186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European level (*)</w:t>
            </w:r>
          </w:p>
        </w:tc>
        <w:tc>
          <w:tcPr>
            <w:tcW w:w="140" w:type="dxa"/>
          </w:tcPr>
          <w:p w:rsidR="00EB3186" w:rsidRPr="00ED67AD" w:rsidRDefault="00EB3186" w:rsidP="00EB3186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B3186" w:rsidRPr="00ED67AD" w:rsidRDefault="00EB3186" w:rsidP="00EB3186">
            <w:pPr>
              <w:pStyle w:val="LevelAssessment-Heading2"/>
            </w:pPr>
            <w:r w:rsidRPr="00ED67AD"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B3186" w:rsidRPr="00ED67AD" w:rsidRDefault="00EB3186" w:rsidP="00EB3186">
            <w:pPr>
              <w:pStyle w:val="LevelAssessment-Heading2"/>
            </w:pPr>
            <w:r w:rsidRPr="00ED67AD"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B3186" w:rsidRPr="00ED67AD" w:rsidRDefault="00EB3186" w:rsidP="00EB3186">
            <w:pPr>
              <w:pStyle w:val="LevelAssessment-Heading2"/>
            </w:pPr>
            <w:r w:rsidRPr="00ED67AD"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B3186" w:rsidRPr="00ED67AD" w:rsidRDefault="00EB3186" w:rsidP="00EB3186">
            <w:pPr>
              <w:pStyle w:val="LevelAssessment-Heading2"/>
            </w:pPr>
            <w:r w:rsidRPr="00ED67AD"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186" w:rsidRPr="00ED67AD" w:rsidRDefault="00EB3186" w:rsidP="00EB3186">
            <w:pPr>
              <w:pStyle w:val="LevelAssessment-Heading2"/>
            </w:pPr>
          </w:p>
        </w:tc>
      </w:tr>
      <w:tr w:rsidR="00EB3186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English</w:t>
            </w:r>
          </w:p>
        </w:tc>
        <w:tc>
          <w:tcPr>
            <w:tcW w:w="140" w:type="dxa"/>
          </w:tcPr>
          <w:p w:rsidR="00EB3186" w:rsidRPr="00ED67AD" w:rsidRDefault="00EB3186" w:rsidP="00EB3186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 w:rsidRPr="00ED67AD">
              <w:t>Excellent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 w:rsidRPr="00ED67AD">
              <w:t>Excellent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 w:rsidRPr="00ED67AD">
              <w:t>Excellent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 w:rsidRPr="00ED67AD">
              <w:t>Excellent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 w:rsidRPr="00ED67AD">
              <w:t>Excellent</w:t>
            </w:r>
          </w:p>
        </w:tc>
      </w:tr>
      <w:tr w:rsidR="00EB3186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French</w:t>
            </w:r>
          </w:p>
        </w:tc>
        <w:tc>
          <w:tcPr>
            <w:tcW w:w="140" w:type="dxa"/>
          </w:tcPr>
          <w:p w:rsidR="00EB3186" w:rsidRPr="00ED67AD" w:rsidRDefault="00EB3186" w:rsidP="00EB3186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 w:rsidRPr="00ED67AD">
              <w:t>Intermediate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 w:rsidRPr="00ED67AD">
              <w:t>Intermediate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>
              <w:t>Elementary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>
              <w:t>Elementary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>
              <w:t>Elementary</w:t>
            </w:r>
          </w:p>
        </w:tc>
      </w:tr>
      <w:tr w:rsidR="00EB3186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3"/>
            </w:pPr>
            <w:r w:rsidRPr="00ED67AD">
              <w:t>Spanish</w:t>
            </w:r>
          </w:p>
        </w:tc>
        <w:tc>
          <w:tcPr>
            <w:tcW w:w="140" w:type="dxa"/>
          </w:tcPr>
          <w:p w:rsidR="00EB3186" w:rsidRPr="00ED67AD" w:rsidRDefault="00EB3186" w:rsidP="00EB3186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 w:rsidRPr="00ED67AD">
              <w:t>Intermediate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 w:rsidRPr="00ED67AD">
              <w:t>Intermediate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>
              <w:t>Elementary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>
              <w:t>Elementary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B3186" w:rsidRPr="00ED67AD" w:rsidRDefault="00EB3186" w:rsidP="00EB3186">
            <w:pPr>
              <w:pStyle w:val="LevelAssessment-Description"/>
            </w:pPr>
            <w:r>
              <w:t>Elementary</w:t>
            </w:r>
          </w:p>
        </w:tc>
      </w:tr>
      <w:tr w:rsidR="00EB3186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EB3186" w:rsidRPr="00ED67AD" w:rsidRDefault="00EB3186" w:rsidP="00EB3186">
            <w:pPr>
              <w:pStyle w:val="LevelAssessment-Note"/>
            </w:pPr>
          </w:p>
        </w:tc>
      </w:tr>
      <w:tr w:rsidR="00EB3186" w:rsidRPr="00ED67AD" w:rsidTr="001D6E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Spacer"/>
            </w:pPr>
          </w:p>
        </w:tc>
      </w:tr>
      <w:tr w:rsidR="00EB3186" w:rsidRPr="00ED67AD" w:rsidTr="001D6EAE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B3186" w:rsidRPr="00ED67AD" w:rsidRDefault="00EB3186" w:rsidP="00EB3186">
            <w:pPr>
              <w:pStyle w:val="CVHeading1"/>
            </w:pPr>
          </w:p>
        </w:tc>
        <w:tc>
          <w:tcPr>
            <w:tcW w:w="7655" w:type="dxa"/>
            <w:gridSpan w:val="11"/>
          </w:tcPr>
          <w:p w:rsidR="00EB3186" w:rsidRPr="00ED67AD" w:rsidRDefault="00EB3186" w:rsidP="00EB3186">
            <w:pPr>
              <w:pStyle w:val="CVNormal-FirstLine"/>
              <w:jc w:val="both"/>
            </w:pPr>
            <w:r w:rsidRPr="00ED67AD">
              <w:t xml:space="preserve">(*) </w:t>
            </w:r>
            <w:hyperlink r:id="rId11" w:history="1">
              <w:r w:rsidRPr="00ED67AD">
                <w:rPr>
                  <w:rStyle w:val="Collegamentoipertestuale"/>
                </w:rPr>
                <w:t>Common European Framework of Reference (CEF) level</w:t>
              </w:r>
            </w:hyperlink>
          </w:p>
        </w:tc>
      </w:tr>
    </w:tbl>
    <w:p w:rsidR="00223FCB" w:rsidRPr="00ED67AD" w:rsidRDefault="00223FCB">
      <w:pPr>
        <w:pStyle w:val="CVNormal"/>
      </w:pPr>
    </w:p>
    <w:sectPr w:rsidR="00223FCB" w:rsidRPr="00ED67AD" w:rsidSect="00DD7EC7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DC" w:rsidRDefault="00884FDC">
      <w:r>
        <w:separator/>
      </w:r>
    </w:p>
  </w:endnote>
  <w:endnote w:type="continuationSeparator" w:id="0">
    <w:p w:rsidR="00884FDC" w:rsidRDefault="008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B7095">
      <w:trPr>
        <w:cantSplit/>
      </w:trPr>
      <w:tc>
        <w:tcPr>
          <w:tcW w:w="3117" w:type="dxa"/>
        </w:tcPr>
        <w:p w:rsidR="008B7095" w:rsidRDefault="008B7095">
          <w:pPr>
            <w:pStyle w:val="CVFooterLef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504D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504DA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 xml:space="preserve"> - Curriculum vitae of </w:t>
          </w:r>
        </w:p>
        <w:p w:rsidR="008B7095" w:rsidRDefault="008B7095" w:rsidP="0018149B">
          <w:pPr>
            <w:pStyle w:val="CVFooterLeft"/>
          </w:pPr>
          <w:r>
            <w:t xml:space="preserve">Edoardo Marcucci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8B7095" w:rsidRDefault="008B7095" w:rsidP="0023343A">
          <w:pPr>
            <w:pStyle w:val="CVFooterRight"/>
          </w:pPr>
          <w:r w:rsidRPr="0023343A">
            <w:t>I authorize the treatment of my personal data in compliance with the</w:t>
          </w:r>
          <w:r>
            <w:t xml:space="preserve"> Italian Law</w:t>
          </w:r>
          <w:r w:rsidRPr="0023343A">
            <w:t xml:space="preserve"> D.Lgs. 30/06/2004 n.196 “Codice in materia di protezione dei dati personali”.</w:t>
          </w:r>
        </w:p>
      </w:tc>
    </w:tr>
  </w:tbl>
  <w:p w:rsidR="008B7095" w:rsidRDefault="008B7095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DC" w:rsidRDefault="00884FDC">
      <w:r>
        <w:separator/>
      </w:r>
    </w:p>
  </w:footnote>
  <w:footnote w:type="continuationSeparator" w:id="0">
    <w:p w:rsidR="00884FDC" w:rsidRDefault="0088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48E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D5FC9"/>
    <w:multiLevelType w:val="hybridMultilevel"/>
    <w:tmpl w:val="1D5CCFAA"/>
    <w:lvl w:ilvl="0" w:tplc="6DA845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94208"/>
    <w:multiLevelType w:val="hybridMultilevel"/>
    <w:tmpl w:val="A202A6E0"/>
    <w:lvl w:ilvl="0" w:tplc="D714BE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6D8F"/>
    <w:multiLevelType w:val="hybridMultilevel"/>
    <w:tmpl w:val="A372E374"/>
    <w:lvl w:ilvl="0" w:tplc="D714BE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75F70"/>
    <w:multiLevelType w:val="hybridMultilevel"/>
    <w:tmpl w:val="B0CE620A"/>
    <w:lvl w:ilvl="0" w:tplc="4E325682">
      <w:numFmt w:val="bullet"/>
      <w:lvlText w:val="•"/>
      <w:lvlJc w:val="left"/>
      <w:pPr>
        <w:ind w:left="723" w:hanging="61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44012F44"/>
    <w:multiLevelType w:val="hybridMultilevel"/>
    <w:tmpl w:val="1A2C72E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EC7547C"/>
    <w:multiLevelType w:val="hybridMultilevel"/>
    <w:tmpl w:val="0F1AC0B2"/>
    <w:lvl w:ilvl="0" w:tplc="D714BE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56A1"/>
    <w:multiLevelType w:val="hybridMultilevel"/>
    <w:tmpl w:val="70587534"/>
    <w:lvl w:ilvl="0" w:tplc="D714BE72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EA"/>
    <w:rsid w:val="00027536"/>
    <w:rsid w:val="0004164B"/>
    <w:rsid w:val="00044214"/>
    <w:rsid w:val="0006082E"/>
    <w:rsid w:val="000666A4"/>
    <w:rsid w:val="00080B6A"/>
    <w:rsid w:val="00091692"/>
    <w:rsid w:val="000B5AF0"/>
    <w:rsid w:val="00104719"/>
    <w:rsid w:val="001160EE"/>
    <w:rsid w:val="0018099C"/>
    <w:rsid w:val="0018149B"/>
    <w:rsid w:val="001A4AE2"/>
    <w:rsid w:val="001D6EAE"/>
    <w:rsid w:val="001F1926"/>
    <w:rsid w:val="00223FCB"/>
    <w:rsid w:val="0023343A"/>
    <w:rsid w:val="00272714"/>
    <w:rsid w:val="00292061"/>
    <w:rsid w:val="002B5F45"/>
    <w:rsid w:val="00306F9C"/>
    <w:rsid w:val="00315983"/>
    <w:rsid w:val="00341AA0"/>
    <w:rsid w:val="0037011D"/>
    <w:rsid w:val="00374D4A"/>
    <w:rsid w:val="00377BCF"/>
    <w:rsid w:val="003861C2"/>
    <w:rsid w:val="00386671"/>
    <w:rsid w:val="003B0E21"/>
    <w:rsid w:val="003B476E"/>
    <w:rsid w:val="00406C36"/>
    <w:rsid w:val="004504DA"/>
    <w:rsid w:val="004535A1"/>
    <w:rsid w:val="004B31FA"/>
    <w:rsid w:val="004C3B6E"/>
    <w:rsid w:val="004F1A99"/>
    <w:rsid w:val="00503A4E"/>
    <w:rsid w:val="0052284D"/>
    <w:rsid w:val="005230A0"/>
    <w:rsid w:val="00530B5E"/>
    <w:rsid w:val="00543AE9"/>
    <w:rsid w:val="00551614"/>
    <w:rsid w:val="00552773"/>
    <w:rsid w:val="00584283"/>
    <w:rsid w:val="005939EA"/>
    <w:rsid w:val="0059440C"/>
    <w:rsid w:val="005B6CF0"/>
    <w:rsid w:val="005C7C9A"/>
    <w:rsid w:val="005D7D34"/>
    <w:rsid w:val="005E3E48"/>
    <w:rsid w:val="005F7A65"/>
    <w:rsid w:val="00600F2B"/>
    <w:rsid w:val="006311D5"/>
    <w:rsid w:val="0063319E"/>
    <w:rsid w:val="00642B71"/>
    <w:rsid w:val="00650962"/>
    <w:rsid w:val="00695051"/>
    <w:rsid w:val="006A072F"/>
    <w:rsid w:val="006B4815"/>
    <w:rsid w:val="006B621F"/>
    <w:rsid w:val="006E131E"/>
    <w:rsid w:val="006E3C0E"/>
    <w:rsid w:val="00702C45"/>
    <w:rsid w:val="00707ECC"/>
    <w:rsid w:val="00710535"/>
    <w:rsid w:val="007471B4"/>
    <w:rsid w:val="007744E2"/>
    <w:rsid w:val="007770DB"/>
    <w:rsid w:val="00792334"/>
    <w:rsid w:val="007B3099"/>
    <w:rsid w:val="007D3EA4"/>
    <w:rsid w:val="00801A1A"/>
    <w:rsid w:val="00810124"/>
    <w:rsid w:val="00817D40"/>
    <w:rsid w:val="008340F0"/>
    <w:rsid w:val="00856BC8"/>
    <w:rsid w:val="00861BD4"/>
    <w:rsid w:val="00884FDC"/>
    <w:rsid w:val="008B29F3"/>
    <w:rsid w:val="008B7095"/>
    <w:rsid w:val="008E4D15"/>
    <w:rsid w:val="008F18DA"/>
    <w:rsid w:val="008F5E4D"/>
    <w:rsid w:val="009230E0"/>
    <w:rsid w:val="009467D7"/>
    <w:rsid w:val="009664D1"/>
    <w:rsid w:val="00973E06"/>
    <w:rsid w:val="00977B92"/>
    <w:rsid w:val="00983767"/>
    <w:rsid w:val="00997C4E"/>
    <w:rsid w:val="009A3942"/>
    <w:rsid w:val="009D2EAC"/>
    <w:rsid w:val="009E5C15"/>
    <w:rsid w:val="009E6CAF"/>
    <w:rsid w:val="00A5646D"/>
    <w:rsid w:val="00A60F43"/>
    <w:rsid w:val="00A9190E"/>
    <w:rsid w:val="00A93DA2"/>
    <w:rsid w:val="00AC7F3F"/>
    <w:rsid w:val="00AD41FE"/>
    <w:rsid w:val="00AE46B3"/>
    <w:rsid w:val="00B1727E"/>
    <w:rsid w:val="00B215C6"/>
    <w:rsid w:val="00B238AC"/>
    <w:rsid w:val="00B47E79"/>
    <w:rsid w:val="00B61B77"/>
    <w:rsid w:val="00B92CEB"/>
    <w:rsid w:val="00BB0227"/>
    <w:rsid w:val="00BB032D"/>
    <w:rsid w:val="00BC67F2"/>
    <w:rsid w:val="00BE5F58"/>
    <w:rsid w:val="00C10815"/>
    <w:rsid w:val="00C10B5E"/>
    <w:rsid w:val="00C2557B"/>
    <w:rsid w:val="00C45E42"/>
    <w:rsid w:val="00C6329C"/>
    <w:rsid w:val="00C730EA"/>
    <w:rsid w:val="00CA6ABB"/>
    <w:rsid w:val="00CF12E4"/>
    <w:rsid w:val="00CF7729"/>
    <w:rsid w:val="00D269B2"/>
    <w:rsid w:val="00D440F6"/>
    <w:rsid w:val="00D45255"/>
    <w:rsid w:val="00D57581"/>
    <w:rsid w:val="00D61839"/>
    <w:rsid w:val="00D716D3"/>
    <w:rsid w:val="00D77F6A"/>
    <w:rsid w:val="00D853BB"/>
    <w:rsid w:val="00DA24E0"/>
    <w:rsid w:val="00DD7EC7"/>
    <w:rsid w:val="00DE06D2"/>
    <w:rsid w:val="00E234CF"/>
    <w:rsid w:val="00EB3186"/>
    <w:rsid w:val="00ED67AD"/>
    <w:rsid w:val="00EE7A13"/>
    <w:rsid w:val="00F223CA"/>
    <w:rsid w:val="00F24C54"/>
    <w:rsid w:val="00F44C9C"/>
    <w:rsid w:val="00F77C1B"/>
    <w:rsid w:val="00FC6158"/>
    <w:rsid w:val="00FD740C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B79C34-F374-4E85-B211-3B48CCF3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Pr>
      <w:sz w:val="0"/>
    </w:rPr>
  </w:style>
  <w:style w:type="paragraph" w:styleId="Pidipagina">
    <w:name w:val="footer"/>
    <w:basedOn w:val="Normale"/>
    <w:semiHidden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0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061"/>
    <w:rPr>
      <w:rFonts w:ascii="Lucida Grande" w:hAnsi="Lucida Grande"/>
      <w:sz w:val="18"/>
      <w:szCs w:val="18"/>
      <w:lang w:val="en-GB" w:eastAsia="ar-SA"/>
    </w:rPr>
  </w:style>
  <w:style w:type="paragraph" w:styleId="Paragrafoelenco">
    <w:name w:val="List Paragraph"/>
    <w:basedOn w:val="Normale"/>
    <w:uiPriority w:val="34"/>
    <w:qFormat/>
    <w:rsid w:val="0063319E"/>
    <w:pPr>
      <w:widowControl w:val="0"/>
      <w:suppressAutoHyphens w:val="0"/>
      <w:ind w:left="708"/>
    </w:pPr>
    <w:rPr>
      <w:rFonts w:ascii="Arial" w:hAnsi="Arial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dma\AppData\Local\Temp\ECV-44377.odt\%3f%3f%3fit_IT\preview\linkToGridTable%3f%3f%3f\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oardo.marcucci@himold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D6D40-EDFC-4C97-A420-AA3FF86F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/>
  <dc:creator>boss1</dc:creator>
  <cp:keywords/>
  <dc:description>Automatically generated Europass CV - V2.0</dc:description>
  <cp:lastModifiedBy>Marcucci Edoardo</cp:lastModifiedBy>
  <cp:revision>2</cp:revision>
  <cp:lastPrinted>2015-05-22T15:30:00Z</cp:lastPrinted>
  <dcterms:created xsi:type="dcterms:W3CDTF">2019-04-08T10:27:00Z</dcterms:created>
  <dcterms:modified xsi:type="dcterms:W3CDTF">2019-04-08T10:27:00Z</dcterms:modified>
</cp:coreProperties>
</file>